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DD" w:rsidRPr="00F636DD" w:rsidRDefault="00F636DD" w:rsidP="00F636DD">
      <w:pPr>
        <w:pStyle w:val="Sansinterligne"/>
        <w:rPr>
          <w:rFonts w:ascii="Arial" w:hAnsi="Arial" w:cs="Arial"/>
        </w:rPr>
      </w:pPr>
      <w:r w:rsidRPr="00F636DD">
        <w:rPr>
          <w:rFonts w:ascii="Cambria Math" w:hAnsi="Cambria Math" w:cs="Cambria Math"/>
        </w:rPr>
        <w:t>𝐐𝐮𝐚𝐧𝐝</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𝐩𝐞𝐫𝐟𝐨𝐫𝐦𝐚𝐧𝐜𝐞</w:t>
      </w:r>
      <w:r w:rsidRPr="00F636DD">
        <w:rPr>
          <w:rFonts w:ascii="Arial" w:hAnsi="Arial" w:cs="Arial"/>
        </w:rPr>
        <w:t xml:space="preserve"> </w:t>
      </w:r>
      <w:r w:rsidRPr="00F636DD">
        <w:rPr>
          <w:rFonts w:ascii="Cambria Math" w:hAnsi="Cambria Math" w:cs="Cambria Math"/>
        </w:rPr>
        <w:t>𝐩𝐚𝐫𝐥𝐞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𝐫𝐞𝐜𝐨𝐧𝐧𝐚𝐢𝐬𝐬𝐚𝐧𝐜𝐞</w:t>
      </w:r>
      <w:r w:rsidRPr="00F636DD">
        <w:rPr>
          <w:rFonts w:ascii="Arial" w:hAnsi="Arial" w:cs="Arial"/>
        </w:rPr>
        <w:t xml:space="preserve"> </w:t>
      </w:r>
      <w:r w:rsidRPr="00F636DD">
        <w:rPr>
          <w:rFonts w:ascii="Cambria Math" w:hAnsi="Cambria Math" w:cs="Cambria Math"/>
        </w:rPr>
        <w:t>𝐬𝐮𝐢𝐭</w:t>
      </w:r>
      <w:r w:rsidRPr="00F636DD">
        <w:rPr>
          <w:rFonts w:ascii="Arial" w:hAnsi="Arial" w:cs="Arial"/>
        </w:rPr>
        <w:t xml:space="preserve"> :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𝐃𝐢𝐫𝐞𝐜𝐭𝐢𝐨𝐧</w:t>
      </w:r>
      <w:r w:rsidRPr="00F636DD">
        <w:rPr>
          <w:rFonts w:ascii="Arial" w:hAnsi="Arial" w:cs="Arial"/>
        </w:rPr>
        <w:t xml:space="preserve"> </w:t>
      </w:r>
      <w:r w:rsidRPr="00F636DD">
        <w:rPr>
          <w:rFonts w:ascii="Cambria Math" w:hAnsi="Cambria Math" w:cs="Cambria Math"/>
        </w:rPr>
        <w:t>𝐠𝐞</w:t>
      </w:r>
      <w:r w:rsidRPr="00F636DD">
        <w:rPr>
          <w:rFonts w:ascii="Arial" w:hAnsi="Arial" w:cs="Arial"/>
        </w:rPr>
        <w:t>́</w:t>
      </w:r>
      <w:r w:rsidRPr="00F636DD">
        <w:rPr>
          <w:rFonts w:ascii="Cambria Math" w:hAnsi="Cambria Math" w:cs="Cambria Math"/>
        </w:rPr>
        <w:t>𝐧𝐞</w:t>
      </w:r>
      <w:r w:rsidRPr="00F636DD">
        <w:rPr>
          <w:rFonts w:ascii="Arial" w:hAnsi="Arial" w:cs="Arial"/>
        </w:rPr>
        <w:t>́</w:t>
      </w:r>
      <w:r w:rsidRPr="00F636DD">
        <w:rPr>
          <w:rFonts w:ascii="Cambria Math" w:hAnsi="Cambria Math" w:cs="Cambria Math"/>
        </w:rPr>
        <w:t>𝐫𝐚𝐥𝐞</w:t>
      </w:r>
      <w:r w:rsidRPr="00F636DD">
        <w:rPr>
          <w:rFonts w:ascii="Arial" w:hAnsi="Arial" w:cs="Arial"/>
        </w:rPr>
        <w:t xml:space="preserve"> </w:t>
      </w:r>
      <w:r w:rsidRPr="00F636DD">
        <w:rPr>
          <w:rFonts w:ascii="Cambria Math" w:hAnsi="Cambria Math" w:cs="Cambria Math"/>
        </w:rPr>
        <w:t>𝐝𝐞𝐬</w:t>
      </w:r>
      <w:r w:rsidRPr="00F636DD">
        <w:rPr>
          <w:rFonts w:ascii="Arial" w:hAnsi="Arial" w:cs="Arial"/>
        </w:rPr>
        <w:t xml:space="preserve"> </w:t>
      </w:r>
      <w:r w:rsidRPr="00F636DD">
        <w:rPr>
          <w:rFonts w:ascii="Cambria Math" w:hAnsi="Cambria Math" w:cs="Cambria Math"/>
        </w:rPr>
        <w:t>𝐃𝐨𝐮𝐚𝐧𝐞𝐬</w:t>
      </w:r>
      <w:r w:rsidRPr="00F636DD">
        <w:rPr>
          <w:rFonts w:ascii="Arial" w:hAnsi="Arial" w:cs="Arial"/>
        </w:rPr>
        <w:t xml:space="preserve"> </w:t>
      </w:r>
      <w:r w:rsidRPr="00F636DD">
        <w:rPr>
          <w:rFonts w:ascii="Cambria Math" w:hAnsi="Cambria Math" w:cs="Cambria Math"/>
        </w:rPr>
        <w:t>𝐜𝐨𝐧𝐬𝐚𝐜𝐫𝐞</w:t>
      </w:r>
      <w:r w:rsidRPr="00F636DD">
        <w:rPr>
          <w:rFonts w:ascii="Arial" w:hAnsi="Arial" w:cs="Arial"/>
        </w:rPr>
        <w:t>́</w:t>
      </w:r>
      <w:r w:rsidRPr="00F636DD">
        <w:rPr>
          <w:rFonts w:ascii="Cambria Math" w:hAnsi="Cambria Math" w:cs="Cambria Math"/>
        </w:rPr>
        <w:t>𝐞</w:t>
      </w:r>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Arial" w:hAnsi="Arial" w:cs="Arial"/>
        </w:rPr>
        <w:t xml:space="preserve">La consécration de la Direction générale des Douanes (DGD) en qualité de « </w:t>
      </w:r>
      <w:r w:rsidRPr="00F636DD">
        <w:rPr>
          <w:rFonts w:ascii="Cambria Math" w:hAnsi="Cambria Math" w:cs="Cambria Math"/>
        </w:rPr>
        <w:t>𝐏𝐞𝐫𝐬𝐨𝐧𝐧𝐚𝐥𝐢𝐭𝐞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w:t>
      </w:r>
      <w:r w:rsidRPr="00F636DD">
        <w:rPr>
          <w:rFonts w:ascii="Arial" w:hAnsi="Arial" w:cs="Arial"/>
        </w:rPr>
        <w:t>’</w:t>
      </w:r>
      <w:r w:rsidRPr="00F636DD">
        <w:rPr>
          <w:rFonts w:ascii="Cambria Math" w:hAnsi="Cambria Math" w:cs="Cambria Math"/>
        </w:rPr>
        <w:t>𝐀𝐧𝐧𝐞</w:t>
      </w:r>
      <w:r w:rsidRPr="00F636DD">
        <w:rPr>
          <w:rFonts w:ascii="Arial" w:hAnsi="Arial" w:cs="Arial"/>
        </w:rPr>
        <w:t>́</w:t>
      </w:r>
      <w:r w:rsidRPr="00F636DD">
        <w:rPr>
          <w:rFonts w:ascii="Cambria Math" w:hAnsi="Cambria Math" w:cs="Cambria Math"/>
        </w:rPr>
        <w:t>𝐞</w:t>
      </w:r>
      <w:r w:rsidRPr="00F636DD">
        <w:rPr>
          <w:rFonts w:ascii="Arial" w:hAnsi="Arial" w:cs="Arial"/>
        </w:rPr>
        <w:t xml:space="preserve"> </w:t>
      </w:r>
      <w:r w:rsidRPr="00F636DD">
        <w:rPr>
          <w:rFonts w:ascii="Cambria Math" w:hAnsi="Cambria Math" w:cs="Cambria Math"/>
        </w:rPr>
        <w:t>𝟐𝟎𝟐𝟓</w:t>
      </w:r>
      <w:r w:rsidRPr="00F636DD">
        <w:rPr>
          <w:rFonts w:ascii="Arial" w:hAnsi="Arial" w:cs="Arial"/>
        </w:rPr>
        <w:t xml:space="preserve"> », dans la catégorie Services, s’inscrit comme l’aboutissement naturel d’un cycle d’actions mûrement conduites et de résultats patiemment construits au service de l’État burkinabè.</w:t>
      </w:r>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Arial" w:hAnsi="Arial" w:cs="Arial"/>
        </w:rPr>
        <w:t xml:space="preserve">Cette distinction, loin de relever du seul hommage circonstanciel, vient reconnaître la constance d’une trajectoire institutionnelle, celle d’une administration régalienne qui, par la rigueur de son engagement et la hauteur de sa vision, s’est affirmée comme l’un des piliers de la vie économique et financière nationale. La Douane burkinabè y apparaît dans ce qu’elle a de plus essentiel : </w:t>
      </w:r>
      <w:r w:rsidRPr="00F636DD">
        <w:rPr>
          <w:rFonts w:ascii="Cambria Math" w:hAnsi="Cambria Math" w:cs="Cambria Math"/>
        </w:rPr>
        <w:t>𝐠𝐚𝐫𝐝𝐢𝐞𝐧𝐧𝐞</w:t>
      </w:r>
      <w:r w:rsidRPr="00F636DD">
        <w:rPr>
          <w:rFonts w:ascii="Arial" w:hAnsi="Arial" w:cs="Arial"/>
        </w:rPr>
        <w:t xml:space="preserve"> </w:t>
      </w:r>
      <w:r w:rsidRPr="00F636DD">
        <w:rPr>
          <w:rFonts w:ascii="Cambria Math" w:hAnsi="Cambria Math" w:cs="Cambria Math"/>
        </w:rPr>
        <w:t>𝐯𝐢𝐠𝐢𝐥𝐚𝐧𝐭𝐞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w:t>
      </w:r>
      <w:r w:rsidRPr="00F636DD">
        <w:rPr>
          <w:rFonts w:ascii="Arial" w:hAnsi="Arial" w:cs="Arial"/>
        </w:rPr>
        <w:t>’</w:t>
      </w:r>
      <w:r w:rsidRPr="00F636DD">
        <w:rPr>
          <w:rFonts w:ascii="Cambria Math" w:hAnsi="Cambria Math" w:cs="Cambria Math"/>
        </w:rPr>
        <w:t>𝐞</w:t>
      </w:r>
      <w:r w:rsidRPr="00F636DD">
        <w:rPr>
          <w:rFonts w:ascii="Arial" w:hAnsi="Arial" w:cs="Arial"/>
        </w:rPr>
        <w:t>́</w:t>
      </w:r>
      <w:r w:rsidRPr="00F636DD">
        <w:rPr>
          <w:rFonts w:ascii="Cambria Math" w:hAnsi="Cambria Math" w:cs="Cambria Math"/>
        </w:rPr>
        <w:t>𝐜𝐨𝐧𝐨𝐦𝐢𝐞</w:t>
      </w:r>
      <w:r w:rsidRPr="00F636DD">
        <w:rPr>
          <w:rFonts w:ascii="Arial" w:hAnsi="Arial" w:cs="Arial"/>
        </w:rPr>
        <w:t xml:space="preserve"> </w:t>
      </w:r>
      <w:r w:rsidRPr="00F636DD">
        <w:rPr>
          <w:rFonts w:ascii="Cambria Math" w:hAnsi="Cambria Math" w:cs="Cambria Math"/>
        </w:rPr>
        <w:t>𝐧𝐚𝐭𝐢𝐨𝐧𝐚𝐥𝐞</w:t>
      </w:r>
      <w:r w:rsidRPr="00F636DD">
        <w:rPr>
          <w:rFonts w:ascii="Arial" w:hAnsi="Arial" w:cs="Arial"/>
        </w:rPr>
        <w:t xml:space="preserve">, </w:t>
      </w:r>
      <w:r w:rsidRPr="00F636DD">
        <w:rPr>
          <w:rFonts w:ascii="Cambria Math" w:hAnsi="Cambria Math" w:cs="Cambria Math"/>
        </w:rPr>
        <w:t>𝐠𝐚𝐫𝐚𝐧𝐭𝐞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𝐬𝐞</w:t>
      </w:r>
      <w:r w:rsidRPr="00F636DD">
        <w:rPr>
          <w:rFonts w:ascii="Arial" w:hAnsi="Arial" w:cs="Arial"/>
        </w:rPr>
        <w:t>́</w:t>
      </w:r>
      <w:r w:rsidRPr="00F636DD">
        <w:rPr>
          <w:rFonts w:ascii="Cambria Math" w:hAnsi="Cambria Math" w:cs="Cambria Math"/>
        </w:rPr>
        <w:t>𝐜𝐮𝐫𝐢𝐭𝐞</w:t>
      </w:r>
      <w:r w:rsidRPr="00F636DD">
        <w:rPr>
          <w:rFonts w:ascii="Arial" w:hAnsi="Arial" w:cs="Arial"/>
        </w:rPr>
        <w:t xml:space="preserve">́ </w:t>
      </w:r>
      <w:r w:rsidRPr="00F636DD">
        <w:rPr>
          <w:rFonts w:ascii="Cambria Math" w:hAnsi="Cambria Math" w:cs="Cambria Math"/>
        </w:rPr>
        <w:t>𝐝𝐞𝐬</w:t>
      </w:r>
      <w:r w:rsidRPr="00F636DD">
        <w:rPr>
          <w:rFonts w:ascii="Arial" w:hAnsi="Arial" w:cs="Arial"/>
        </w:rPr>
        <w:t xml:space="preserve"> </w:t>
      </w:r>
      <w:r w:rsidRPr="00F636DD">
        <w:rPr>
          <w:rFonts w:ascii="Cambria Math" w:hAnsi="Cambria Math" w:cs="Cambria Math"/>
        </w:rPr>
        <w:t>𝐞</w:t>
      </w:r>
      <w:r w:rsidRPr="00F636DD">
        <w:rPr>
          <w:rFonts w:ascii="Arial" w:hAnsi="Arial" w:cs="Arial"/>
        </w:rPr>
        <w:t>́</w:t>
      </w:r>
      <w:r w:rsidRPr="00F636DD">
        <w:rPr>
          <w:rFonts w:ascii="Cambria Math" w:hAnsi="Cambria Math" w:cs="Cambria Math"/>
        </w:rPr>
        <w:t>𝐜𝐡𝐚𝐧𝐠𝐞𝐬</w:t>
      </w:r>
      <w:r w:rsidRPr="00F636DD">
        <w:rPr>
          <w:rFonts w:ascii="Arial" w:hAnsi="Arial" w:cs="Arial"/>
        </w:rPr>
        <w:t xml:space="preserve">, </w:t>
      </w:r>
      <w:r w:rsidRPr="00F636DD">
        <w:rPr>
          <w:rFonts w:ascii="Cambria Math" w:hAnsi="Cambria Math" w:cs="Cambria Math"/>
        </w:rPr>
        <w:t>𝐥𝐞𝐯𝐢𝐞𝐫</w:t>
      </w:r>
      <w:r w:rsidRPr="00F636DD">
        <w:rPr>
          <w:rFonts w:ascii="Arial" w:hAnsi="Arial" w:cs="Arial"/>
        </w:rPr>
        <w:t xml:space="preserve"> </w:t>
      </w:r>
      <w:r w:rsidRPr="00F636DD">
        <w:rPr>
          <w:rFonts w:ascii="Cambria Math" w:hAnsi="Cambria Math" w:cs="Cambria Math"/>
        </w:rPr>
        <w:t>𝐦𝐚𝐣𝐞𝐮𝐫</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𝐦𝐨𝐛𝐢𝐥𝐢𝐬𝐚𝐭𝐢𝐨𝐧</w:t>
      </w:r>
      <w:r w:rsidRPr="00F636DD">
        <w:rPr>
          <w:rFonts w:ascii="Arial" w:hAnsi="Arial" w:cs="Arial"/>
        </w:rPr>
        <w:t xml:space="preserve"> </w:t>
      </w:r>
      <w:r w:rsidRPr="00F636DD">
        <w:rPr>
          <w:rFonts w:ascii="Cambria Math" w:hAnsi="Cambria Math" w:cs="Cambria Math"/>
        </w:rPr>
        <w:t>𝐝𝐞𝐬</w:t>
      </w:r>
      <w:r w:rsidRPr="00F636DD">
        <w:rPr>
          <w:rFonts w:ascii="Arial" w:hAnsi="Arial" w:cs="Arial"/>
        </w:rPr>
        <w:t xml:space="preserve"> </w:t>
      </w:r>
      <w:r w:rsidRPr="00F636DD">
        <w:rPr>
          <w:rFonts w:ascii="Cambria Math" w:hAnsi="Cambria Math" w:cs="Cambria Math"/>
        </w:rPr>
        <w:t>𝐫𝐞𝐬𝐬𝐨𝐮𝐫𝐜𝐞𝐬</w:t>
      </w:r>
      <w:r w:rsidRPr="00F636DD">
        <w:rPr>
          <w:rFonts w:ascii="Arial" w:hAnsi="Arial" w:cs="Arial"/>
        </w:rPr>
        <w:t xml:space="preserve"> </w:t>
      </w:r>
      <w:r w:rsidRPr="00F636DD">
        <w:rPr>
          <w:rFonts w:ascii="Cambria Math" w:hAnsi="Cambria Math" w:cs="Cambria Math"/>
        </w:rPr>
        <w:t>𝐩𝐮𝐛𝐥𝐢𝐪𝐮𝐞𝐬</w:t>
      </w:r>
      <w:r w:rsidRPr="00F636DD">
        <w:rPr>
          <w:rFonts w:ascii="Arial" w:hAnsi="Arial" w:cs="Arial"/>
        </w:rPr>
        <w:t xml:space="preserve"> </w:t>
      </w:r>
      <w:r w:rsidRPr="00F636DD">
        <w:rPr>
          <w:rFonts w:ascii="Cambria Math" w:hAnsi="Cambria Math" w:cs="Cambria Math"/>
        </w:rPr>
        <w:t>𝐞𝐭</w:t>
      </w:r>
      <w:r w:rsidRPr="00F636DD">
        <w:rPr>
          <w:rFonts w:ascii="Arial" w:hAnsi="Arial" w:cs="Arial"/>
        </w:rPr>
        <w:t xml:space="preserve"> </w:t>
      </w:r>
      <w:r w:rsidRPr="00F636DD">
        <w:rPr>
          <w:rFonts w:ascii="Cambria Math" w:hAnsi="Cambria Math" w:cs="Cambria Math"/>
        </w:rPr>
        <w:t>𝐫𝐞𝐦𝐩𝐚𝐫𝐭</w:t>
      </w:r>
      <w:r w:rsidRPr="00F636DD">
        <w:rPr>
          <w:rFonts w:ascii="Arial" w:hAnsi="Arial" w:cs="Arial"/>
        </w:rPr>
        <w:t xml:space="preserve"> </w:t>
      </w:r>
      <w:r w:rsidRPr="00F636DD">
        <w:rPr>
          <w:rFonts w:ascii="Cambria Math" w:hAnsi="Cambria Math" w:cs="Cambria Math"/>
        </w:rPr>
        <w:t>𝐦𝐞</w:t>
      </w:r>
      <w:r w:rsidRPr="00F636DD">
        <w:rPr>
          <w:rFonts w:ascii="Arial" w:hAnsi="Arial" w:cs="Arial"/>
        </w:rPr>
        <w:t>́</w:t>
      </w:r>
      <w:r w:rsidRPr="00F636DD">
        <w:rPr>
          <w:rFonts w:ascii="Cambria Math" w:hAnsi="Cambria Math" w:cs="Cambria Math"/>
        </w:rPr>
        <w:t>𝐭𝐡𝐨𝐝𝐢𝐪𝐮𝐞</w:t>
      </w:r>
      <w:r w:rsidRPr="00F636DD">
        <w:rPr>
          <w:rFonts w:ascii="Arial" w:hAnsi="Arial" w:cs="Arial"/>
        </w:rPr>
        <w:t xml:space="preserve"> </w:t>
      </w:r>
      <w:r w:rsidRPr="00F636DD">
        <w:rPr>
          <w:rFonts w:ascii="Cambria Math" w:hAnsi="Cambria Math" w:cs="Cambria Math"/>
        </w:rPr>
        <w:t>𝐜𝐨𝐧𝐭𝐫𝐞</w:t>
      </w:r>
      <w:r w:rsidRPr="00F636DD">
        <w:rPr>
          <w:rFonts w:ascii="Arial" w:hAnsi="Arial" w:cs="Arial"/>
        </w:rPr>
        <w:t xml:space="preserve"> </w:t>
      </w:r>
      <w:r w:rsidRPr="00F636DD">
        <w:rPr>
          <w:rFonts w:ascii="Cambria Math" w:hAnsi="Cambria Math" w:cs="Cambria Math"/>
        </w:rPr>
        <w:t>𝐥𝐞𝐬</w:t>
      </w:r>
      <w:r w:rsidRPr="00F636DD">
        <w:rPr>
          <w:rFonts w:ascii="Arial" w:hAnsi="Arial" w:cs="Arial"/>
        </w:rPr>
        <w:t xml:space="preserve"> </w:t>
      </w:r>
      <w:r w:rsidRPr="00F636DD">
        <w:rPr>
          <w:rFonts w:ascii="Cambria Math" w:hAnsi="Cambria Math" w:cs="Cambria Math"/>
        </w:rPr>
        <w:t>𝐦𝐮𝐥𝐭𝐢𝐩𝐥𝐞𝐬</w:t>
      </w:r>
      <w:r w:rsidRPr="00F636DD">
        <w:rPr>
          <w:rFonts w:ascii="Arial" w:hAnsi="Arial" w:cs="Arial"/>
        </w:rPr>
        <w:t xml:space="preserve"> </w:t>
      </w:r>
      <w:r w:rsidRPr="00F636DD">
        <w:rPr>
          <w:rFonts w:ascii="Cambria Math" w:hAnsi="Cambria Math" w:cs="Cambria Math"/>
        </w:rPr>
        <w:t>𝐟𝐨𝐫𝐦𝐞𝐬</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𝐟𝐫𝐚𝐮𝐝𝐞</w:t>
      </w:r>
      <w:r w:rsidRPr="00F636DD">
        <w:rPr>
          <w:rFonts w:ascii="Arial" w:hAnsi="Arial" w:cs="Arial"/>
        </w:rPr>
        <w:t>.</w:t>
      </w:r>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Arial" w:hAnsi="Arial" w:cs="Arial"/>
        </w:rPr>
        <w:t>Tout au long de l’année 2025, la Direction générale des Douanes a su démontrer qu’autorité et discernement ne s’excluent point, mais se renforcent mutuellement. Dans un contexte marqué par des contraintes sécuritaires, économiques et logistiques d’une rare complexité, elle a opposé à l’adversité une organisation maîtrisée, fondée sur la présence opérationnelle, le ciblage intelligent des contrôles et l’exploitation stratégique du renseignement douanier. Ainsi, l’action répressive s’est conjuguée avec la nécessaire fluidité des échanges licites, dans un équilibre empreint de responsabilité et de lucidité.</w:t>
      </w:r>
      <w:bookmarkStart w:id="0" w:name="_GoBack"/>
      <w:bookmarkEnd w:id="0"/>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Arial" w:hAnsi="Arial" w:cs="Arial"/>
        </w:rPr>
        <w:t xml:space="preserve">La reconnaissance accordée par </w:t>
      </w:r>
      <w:r w:rsidRPr="00F636DD">
        <w:rPr>
          <w:rFonts w:ascii="Cambria Math" w:hAnsi="Cambria Math" w:cs="Cambria Math"/>
        </w:rPr>
        <w:t>𝐥</w:t>
      </w:r>
      <w:r w:rsidRPr="00F636DD">
        <w:rPr>
          <w:rFonts w:ascii="Arial" w:hAnsi="Arial" w:cs="Arial"/>
        </w:rPr>
        <w:t>’</w:t>
      </w:r>
      <w:r w:rsidRPr="00F636DD">
        <w:rPr>
          <w:rFonts w:ascii="Cambria Math" w:hAnsi="Cambria Math" w:cs="Cambria Math"/>
        </w:rPr>
        <w:t>𝐄</w:t>
      </w:r>
      <w:r w:rsidRPr="00F636DD">
        <w:rPr>
          <w:rFonts w:ascii="Arial" w:hAnsi="Arial" w:cs="Arial"/>
        </w:rPr>
        <w:t>́</w:t>
      </w:r>
      <w:r w:rsidRPr="00F636DD">
        <w:rPr>
          <w:rFonts w:ascii="Cambria Math" w:hAnsi="Cambria Math" w:cs="Cambria Math"/>
        </w:rPr>
        <w:t>𝐜𝐨𝐧𝐨𝐦𝐢𝐬𝐭𝐞</w:t>
      </w:r>
      <w:r w:rsidRPr="00F636DD">
        <w:rPr>
          <w:rFonts w:ascii="Arial" w:hAnsi="Arial" w:cs="Arial"/>
        </w:rPr>
        <w:t xml:space="preserve"> </w:t>
      </w:r>
      <w:r w:rsidRPr="00F636DD">
        <w:rPr>
          <w:rFonts w:ascii="Cambria Math" w:hAnsi="Cambria Math" w:cs="Cambria Math"/>
        </w:rPr>
        <w:t>𝐝𝐮</w:t>
      </w:r>
      <w:r w:rsidRPr="00F636DD">
        <w:rPr>
          <w:rFonts w:ascii="Arial" w:hAnsi="Arial" w:cs="Arial"/>
        </w:rPr>
        <w:t xml:space="preserve"> </w:t>
      </w:r>
      <w:r w:rsidRPr="00F636DD">
        <w:rPr>
          <w:rFonts w:ascii="Cambria Math" w:hAnsi="Cambria Math" w:cs="Cambria Math"/>
        </w:rPr>
        <w:t>𝐅𝐚𝐬𝐨</w:t>
      </w:r>
      <w:r w:rsidRPr="00F636DD">
        <w:rPr>
          <w:rFonts w:ascii="Arial" w:hAnsi="Arial" w:cs="Arial"/>
        </w:rPr>
        <w:t xml:space="preserve"> consacre également la qualité de la gouvernance administrative portée par la Douane burkinabè, avec à sa tête </w:t>
      </w:r>
      <w:r w:rsidRPr="00F636DD">
        <w:rPr>
          <w:rFonts w:ascii="Cambria Math" w:hAnsi="Cambria Math" w:cs="Cambria Math"/>
        </w:rPr>
        <w:t>𝐥</w:t>
      </w:r>
      <w:r w:rsidRPr="00F636DD">
        <w:rPr>
          <w:rFonts w:ascii="Arial" w:hAnsi="Arial" w:cs="Arial"/>
        </w:rPr>
        <w:t>’</w:t>
      </w:r>
      <w:r w:rsidRPr="00F636DD">
        <w:rPr>
          <w:rFonts w:ascii="Cambria Math" w:hAnsi="Cambria Math" w:cs="Cambria Math"/>
        </w:rPr>
        <w:t>𝐈𝐧𝐬𝐩𝐞𝐜𝐭𝐞𝐮𝐫</w:t>
      </w:r>
      <w:r w:rsidRPr="00F636DD">
        <w:rPr>
          <w:rFonts w:ascii="Arial" w:hAnsi="Arial" w:cs="Arial"/>
        </w:rPr>
        <w:t xml:space="preserve"> </w:t>
      </w:r>
      <w:r w:rsidRPr="00F636DD">
        <w:rPr>
          <w:rFonts w:ascii="Cambria Math" w:hAnsi="Cambria Math" w:cs="Cambria Math"/>
        </w:rPr>
        <w:t>𝐝𝐢𝐯𝐢𝐬𝐢𝐨𝐧𝐧𝐚𝐢𝐫𝐞</w:t>
      </w:r>
      <w:r w:rsidRPr="00F636DD">
        <w:rPr>
          <w:rFonts w:ascii="Arial" w:hAnsi="Arial" w:cs="Arial"/>
        </w:rPr>
        <w:t xml:space="preserve"> </w:t>
      </w:r>
      <w:r w:rsidRPr="00F636DD">
        <w:rPr>
          <w:rFonts w:ascii="Cambria Math" w:hAnsi="Cambria Math" w:cs="Cambria Math"/>
        </w:rPr>
        <w:t>𝐘𝐯𝐞𝐬</w:t>
      </w:r>
      <w:r w:rsidRPr="00F636DD">
        <w:rPr>
          <w:rFonts w:ascii="Arial" w:hAnsi="Arial" w:cs="Arial"/>
        </w:rPr>
        <w:t xml:space="preserve"> </w:t>
      </w:r>
      <w:r w:rsidRPr="00F636DD">
        <w:rPr>
          <w:rFonts w:ascii="Cambria Math" w:hAnsi="Cambria Math" w:cs="Cambria Math"/>
        </w:rPr>
        <w:t>𝐊𝐀𝐅𝐀𝐍𝐃𝐎</w:t>
      </w:r>
      <w:r w:rsidRPr="00F636DD">
        <w:rPr>
          <w:rFonts w:ascii="Arial" w:hAnsi="Arial" w:cs="Arial"/>
        </w:rPr>
        <w:t xml:space="preserve"> : une gouvernance fondée sur l’anticipation, soucieuse de la redevabilité et résolument tournée vers la performance durable. Elle traduit l’évolution d’une administration qui ne se limite plus à la perception des droits et taxes, mais qui s’impose désormais comme un acteur structurant du développement, pleinement inscrit au cœur des politiques publiques de croissance, de résilience et de souveraineté économique.</w:t>
      </w:r>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Arial" w:hAnsi="Arial" w:cs="Arial"/>
        </w:rPr>
        <w:t xml:space="preserve">Cette distinction éclaire enfin </w:t>
      </w:r>
      <w:r w:rsidRPr="00F636DD">
        <w:rPr>
          <w:rFonts w:ascii="Cambria Math" w:hAnsi="Cambria Math" w:cs="Cambria Math"/>
        </w:rPr>
        <w:t>𝐥𝐞</w:t>
      </w:r>
      <w:r w:rsidRPr="00F636DD">
        <w:rPr>
          <w:rFonts w:ascii="Arial" w:hAnsi="Arial" w:cs="Arial"/>
        </w:rPr>
        <w:t xml:space="preserve"> </w:t>
      </w:r>
      <w:r w:rsidRPr="00F636DD">
        <w:rPr>
          <w:rFonts w:ascii="Cambria Math" w:hAnsi="Cambria Math" w:cs="Cambria Math"/>
        </w:rPr>
        <w:t>𝐦𝐞</w:t>
      </w:r>
      <w:r w:rsidRPr="00F636DD">
        <w:rPr>
          <w:rFonts w:ascii="Arial" w:hAnsi="Arial" w:cs="Arial"/>
        </w:rPr>
        <w:t>́</w:t>
      </w:r>
      <w:r w:rsidRPr="00F636DD">
        <w:rPr>
          <w:rFonts w:ascii="Cambria Math" w:hAnsi="Cambria Math" w:cs="Cambria Math"/>
        </w:rPr>
        <w:t>𝐫𝐢𝐭𝐞</w:t>
      </w:r>
      <w:r w:rsidRPr="00F636DD">
        <w:rPr>
          <w:rFonts w:ascii="Arial" w:hAnsi="Arial" w:cs="Arial"/>
        </w:rPr>
        <w:t xml:space="preserve"> </w:t>
      </w:r>
      <w:r w:rsidRPr="00F636DD">
        <w:rPr>
          <w:rFonts w:ascii="Cambria Math" w:hAnsi="Cambria Math" w:cs="Cambria Math"/>
        </w:rPr>
        <w:t>𝐜𝐨𝐥𝐥𝐞𝐜𝐭𝐢𝐟</w:t>
      </w:r>
      <w:r w:rsidRPr="00F636DD">
        <w:rPr>
          <w:rFonts w:ascii="Arial" w:hAnsi="Arial" w:cs="Arial"/>
        </w:rPr>
        <w:t xml:space="preserve"> </w:t>
      </w:r>
      <w:r w:rsidRPr="00F636DD">
        <w:rPr>
          <w:rFonts w:ascii="Cambria Math" w:hAnsi="Cambria Math" w:cs="Cambria Math"/>
        </w:rPr>
        <w:t>𝐝𝐞𝐬</w:t>
      </w:r>
      <w:r w:rsidRPr="00F636DD">
        <w:rPr>
          <w:rFonts w:ascii="Arial" w:hAnsi="Arial" w:cs="Arial"/>
        </w:rPr>
        <w:t xml:space="preserve"> </w:t>
      </w:r>
      <w:r w:rsidRPr="00F636DD">
        <w:rPr>
          <w:rFonts w:ascii="Cambria Math" w:hAnsi="Cambria Math" w:cs="Cambria Math"/>
        </w:rPr>
        <w:t>𝐟𝐞𝐦𝐦𝐞𝐬</w:t>
      </w:r>
      <w:r w:rsidRPr="00F636DD">
        <w:rPr>
          <w:rFonts w:ascii="Arial" w:hAnsi="Arial" w:cs="Arial"/>
        </w:rPr>
        <w:t xml:space="preserve"> </w:t>
      </w:r>
      <w:r w:rsidRPr="00F636DD">
        <w:rPr>
          <w:rFonts w:ascii="Cambria Math" w:hAnsi="Cambria Math" w:cs="Cambria Math"/>
        </w:rPr>
        <w:t>𝐞𝐭</w:t>
      </w:r>
      <w:r w:rsidRPr="00F636DD">
        <w:rPr>
          <w:rFonts w:ascii="Arial" w:hAnsi="Arial" w:cs="Arial"/>
        </w:rPr>
        <w:t xml:space="preserve"> </w:t>
      </w:r>
      <w:r w:rsidRPr="00F636DD">
        <w:rPr>
          <w:rFonts w:ascii="Cambria Math" w:hAnsi="Cambria Math" w:cs="Cambria Math"/>
        </w:rPr>
        <w:t>𝐝𝐞𝐬</w:t>
      </w:r>
      <w:r w:rsidRPr="00F636DD">
        <w:rPr>
          <w:rFonts w:ascii="Arial" w:hAnsi="Arial" w:cs="Arial"/>
        </w:rPr>
        <w:t xml:space="preserve"> </w:t>
      </w:r>
      <w:r w:rsidRPr="00F636DD">
        <w:rPr>
          <w:rFonts w:ascii="Cambria Math" w:hAnsi="Cambria Math" w:cs="Cambria Math"/>
        </w:rPr>
        <w:t>𝐡𝐨𝐦𝐦𝐞𝐬</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𝐃𝐨𝐮𝐚𝐧𝐞</w:t>
      </w:r>
      <w:r w:rsidRPr="00F636DD">
        <w:rPr>
          <w:rFonts w:ascii="Arial" w:hAnsi="Arial" w:cs="Arial"/>
        </w:rPr>
        <w:t xml:space="preserve">, </w:t>
      </w:r>
      <w:r w:rsidRPr="00F636DD">
        <w:rPr>
          <w:rFonts w:ascii="Cambria Math" w:hAnsi="Cambria Math" w:cs="Cambria Math"/>
        </w:rPr>
        <w:t>𝐝𝐨𝐧𝐭</w:t>
      </w:r>
      <w:r w:rsidRPr="00F636DD">
        <w:rPr>
          <w:rFonts w:ascii="Arial" w:hAnsi="Arial" w:cs="Arial"/>
        </w:rPr>
        <w:t xml:space="preserve"> </w:t>
      </w:r>
      <w:r w:rsidRPr="00F636DD">
        <w:rPr>
          <w:rFonts w:ascii="Cambria Math" w:hAnsi="Cambria Math" w:cs="Cambria Math"/>
        </w:rPr>
        <w:t>𝐥𝐞</w:t>
      </w:r>
      <w:r w:rsidRPr="00F636DD">
        <w:rPr>
          <w:rFonts w:ascii="Arial" w:hAnsi="Arial" w:cs="Arial"/>
        </w:rPr>
        <w:t xml:space="preserve"> </w:t>
      </w:r>
      <w:r w:rsidRPr="00F636DD">
        <w:rPr>
          <w:rFonts w:ascii="Cambria Math" w:hAnsi="Cambria Math" w:cs="Cambria Math"/>
        </w:rPr>
        <w:t>𝐩𝐫𝐨𝐟𝐞𝐬𝐬𝐢𝐨𝐧𝐧𝐚𝐥𝐢𝐬𝐦𝐞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𝐝𝐢𝐬𝐜𝐢𝐩𝐥𝐢𝐧𝐞</w:t>
      </w:r>
      <w:r w:rsidRPr="00F636DD">
        <w:rPr>
          <w:rFonts w:ascii="Arial" w:hAnsi="Arial" w:cs="Arial"/>
        </w:rPr>
        <w:t xml:space="preserve"> </w:t>
      </w:r>
      <w:r w:rsidRPr="00F636DD">
        <w:rPr>
          <w:rFonts w:ascii="Cambria Math" w:hAnsi="Cambria Math" w:cs="Cambria Math"/>
        </w:rPr>
        <w:t>𝐞𝐭</w:t>
      </w:r>
      <w:r w:rsidRPr="00F636DD">
        <w:rPr>
          <w:rFonts w:ascii="Arial" w:hAnsi="Arial" w:cs="Arial"/>
        </w:rPr>
        <w:t xml:space="preserve"> </w:t>
      </w:r>
      <w:r w:rsidRPr="00F636DD">
        <w:rPr>
          <w:rFonts w:ascii="Cambria Math" w:hAnsi="Cambria Math" w:cs="Cambria Math"/>
        </w:rPr>
        <w:t>𝐥𝐞</w:t>
      </w:r>
      <w:r w:rsidRPr="00F636DD">
        <w:rPr>
          <w:rFonts w:ascii="Arial" w:hAnsi="Arial" w:cs="Arial"/>
        </w:rPr>
        <w:t xml:space="preserve"> </w:t>
      </w:r>
      <w:r w:rsidRPr="00F636DD">
        <w:rPr>
          <w:rFonts w:ascii="Cambria Math" w:hAnsi="Cambria Math" w:cs="Cambria Math"/>
        </w:rPr>
        <w:t>𝐬𝐞𝐧𝐬</w:t>
      </w:r>
      <w:r w:rsidRPr="00F636DD">
        <w:rPr>
          <w:rFonts w:ascii="Arial" w:hAnsi="Arial" w:cs="Arial"/>
        </w:rPr>
        <w:t xml:space="preserve"> </w:t>
      </w:r>
      <w:r w:rsidRPr="00F636DD">
        <w:rPr>
          <w:rFonts w:ascii="Cambria Math" w:hAnsi="Cambria Math" w:cs="Cambria Math"/>
        </w:rPr>
        <w:t>𝐞</w:t>
      </w:r>
      <w:r w:rsidRPr="00F636DD">
        <w:rPr>
          <w:rFonts w:ascii="Arial" w:hAnsi="Arial" w:cs="Arial"/>
        </w:rPr>
        <w:t>́</w:t>
      </w:r>
      <w:r w:rsidRPr="00F636DD">
        <w:rPr>
          <w:rFonts w:ascii="Cambria Math" w:hAnsi="Cambria Math" w:cs="Cambria Math"/>
        </w:rPr>
        <w:t>𝐥𝐞𝐯𝐞</w:t>
      </w:r>
      <w:r w:rsidRPr="00F636DD">
        <w:rPr>
          <w:rFonts w:ascii="Arial" w:hAnsi="Arial" w:cs="Arial"/>
        </w:rPr>
        <w:t xml:space="preserve">́ </w:t>
      </w:r>
      <w:r w:rsidRPr="00F636DD">
        <w:rPr>
          <w:rFonts w:ascii="Cambria Math" w:hAnsi="Cambria Math" w:cs="Cambria Math"/>
        </w:rPr>
        <w:t>𝐝𝐮</w:t>
      </w:r>
      <w:r w:rsidRPr="00F636DD">
        <w:rPr>
          <w:rFonts w:ascii="Arial" w:hAnsi="Arial" w:cs="Arial"/>
        </w:rPr>
        <w:t xml:space="preserve"> </w:t>
      </w:r>
      <w:r w:rsidRPr="00F636DD">
        <w:rPr>
          <w:rFonts w:ascii="Cambria Math" w:hAnsi="Cambria Math" w:cs="Cambria Math"/>
        </w:rPr>
        <w:t>𝐝𝐞𝐯𝐨𝐢𝐫</w:t>
      </w:r>
      <w:r w:rsidRPr="00F636DD">
        <w:rPr>
          <w:rFonts w:ascii="Arial" w:hAnsi="Arial" w:cs="Arial"/>
        </w:rPr>
        <w:t xml:space="preserve"> </w:t>
      </w:r>
      <w:r w:rsidRPr="00F636DD">
        <w:rPr>
          <w:rFonts w:ascii="Cambria Math" w:hAnsi="Cambria Math" w:cs="Cambria Math"/>
        </w:rPr>
        <w:t>𝐜𝐨𝐧𝐬𝐭𝐢𝐭𝐮𝐞𝐧𝐭</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𝐭𝐫𝐚𝐦𝐞</w:t>
      </w:r>
      <w:r w:rsidRPr="00F636DD">
        <w:rPr>
          <w:rFonts w:ascii="Arial" w:hAnsi="Arial" w:cs="Arial"/>
        </w:rPr>
        <w:t xml:space="preserve"> </w:t>
      </w:r>
      <w:r w:rsidRPr="00F636DD">
        <w:rPr>
          <w:rFonts w:ascii="Cambria Math" w:hAnsi="Cambria Math" w:cs="Cambria Math"/>
        </w:rPr>
        <w:t>𝐢𝐧𝐯𝐢𝐬𝐢𝐛𝐥𝐞</w:t>
      </w:r>
      <w:r w:rsidRPr="00F636DD">
        <w:rPr>
          <w:rFonts w:ascii="Arial" w:hAnsi="Arial" w:cs="Arial"/>
        </w:rPr>
        <w:t xml:space="preserve"> </w:t>
      </w:r>
      <w:r w:rsidRPr="00F636DD">
        <w:rPr>
          <w:rFonts w:ascii="Cambria Math" w:hAnsi="Cambria Math" w:cs="Cambria Math"/>
        </w:rPr>
        <w:t>𝐦𝐚𝐢𝐬</w:t>
      </w:r>
      <w:r w:rsidRPr="00F636DD">
        <w:rPr>
          <w:rFonts w:ascii="Arial" w:hAnsi="Arial" w:cs="Arial"/>
        </w:rPr>
        <w:t xml:space="preserve"> </w:t>
      </w:r>
      <w:r w:rsidRPr="00F636DD">
        <w:rPr>
          <w:rFonts w:ascii="Cambria Math" w:hAnsi="Cambria Math" w:cs="Cambria Math"/>
        </w:rPr>
        <w:t>𝐬𝐨𝐥𝐢𝐝𝐞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𝐜𝐫𝐞</w:t>
      </w:r>
      <w:r w:rsidRPr="00F636DD">
        <w:rPr>
          <w:rFonts w:ascii="Arial" w:hAnsi="Arial" w:cs="Arial"/>
        </w:rPr>
        <w:t>́</w:t>
      </w:r>
      <w:r w:rsidRPr="00F636DD">
        <w:rPr>
          <w:rFonts w:ascii="Cambria Math" w:hAnsi="Cambria Math" w:cs="Cambria Math"/>
        </w:rPr>
        <w:t>𝐝𝐢𝐛𝐢𝐥𝐢𝐭𝐞</w:t>
      </w:r>
      <w:r w:rsidRPr="00F636DD">
        <w:rPr>
          <w:rFonts w:ascii="Arial" w:hAnsi="Arial" w:cs="Arial"/>
        </w:rPr>
        <w:t xml:space="preserve">́ </w:t>
      </w:r>
      <w:r w:rsidRPr="00F636DD">
        <w:rPr>
          <w:rFonts w:ascii="Cambria Math" w:hAnsi="Cambria Math" w:cs="Cambria Math"/>
        </w:rPr>
        <w:t>𝐢𝐧𝐬𝐭𝐢𝐭𝐮𝐭𝐢𝐨𝐧𝐧𝐞𝐥𝐥𝐞</w:t>
      </w:r>
      <w:r w:rsidRPr="00F636DD">
        <w:rPr>
          <w:rFonts w:ascii="Arial" w:hAnsi="Arial" w:cs="Arial"/>
        </w:rPr>
        <w:t>. Elle souligne leur capacité à inscrire l’action douanière dans le temps long, en intégrant progressivement les exigences de modernisation, de digitalisation et de coopération interinstitutionnelle qui fondent l’administration publique contemporaine.</w:t>
      </w:r>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Arial" w:hAnsi="Arial" w:cs="Arial"/>
        </w:rPr>
        <w:t>En consacrant la Direction générale des Douanes comme Personnalité de l’Année 2025, c’est un message d’une portée singulière qui est adressé à la Nation : celui d’une Douane consciente de son rôle régalien, fidèle à l’intérêt général, protectrice des intérêts stratégiques de l’État et actrice résolue de la stabilité et de la souveraineté du Burkina Faso.</w:t>
      </w:r>
    </w:p>
    <w:p w:rsidR="00F636DD" w:rsidRPr="00F636DD" w:rsidRDefault="00F636DD" w:rsidP="00F636DD">
      <w:pPr>
        <w:pStyle w:val="Sansinterligne"/>
        <w:rPr>
          <w:rFonts w:ascii="Arial" w:hAnsi="Arial" w:cs="Arial"/>
        </w:rPr>
      </w:pPr>
      <w:r w:rsidRPr="00F636DD">
        <w:rPr>
          <w:rFonts w:ascii="Cambria Math" w:hAnsi="Cambria Math" w:cs="Cambria Math"/>
        </w:rPr>
        <w:t>𝐏𝐥𝐮𝐬</w:t>
      </w:r>
      <w:r w:rsidRPr="00F636DD">
        <w:rPr>
          <w:rFonts w:ascii="Arial" w:hAnsi="Arial" w:cs="Arial"/>
        </w:rPr>
        <w:t xml:space="preserve"> </w:t>
      </w:r>
      <w:r w:rsidRPr="00F636DD">
        <w:rPr>
          <w:rFonts w:ascii="Cambria Math" w:hAnsi="Cambria Math" w:cs="Cambria Math"/>
        </w:rPr>
        <w:t>𝐪𝐮</w:t>
      </w:r>
      <w:r w:rsidRPr="00F636DD">
        <w:rPr>
          <w:rFonts w:ascii="Arial" w:hAnsi="Arial" w:cs="Arial"/>
        </w:rPr>
        <w:t>’</w:t>
      </w:r>
      <w:r w:rsidRPr="00F636DD">
        <w:rPr>
          <w:rFonts w:ascii="Cambria Math" w:hAnsi="Cambria Math" w:cs="Cambria Math"/>
        </w:rPr>
        <w:t>𝐮𝐧</w:t>
      </w:r>
      <w:r w:rsidRPr="00F636DD">
        <w:rPr>
          <w:rFonts w:ascii="Arial" w:hAnsi="Arial" w:cs="Arial"/>
        </w:rPr>
        <w:t xml:space="preserve"> </w:t>
      </w:r>
      <w:r w:rsidRPr="00F636DD">
        <w:rPr>
          <w:rFonts w:ascii="Cambria Math" w:hAnsi="Cambria Math" w:cs="Cambria Math"/>
        </w:rPr>
        <w:t>𝐡𝐨𝐧𝐧𝐞𝐮𝐫</w:t>
      </w:r>
      <w:r w:rsidRPr="00F636DD">
        <w:rPr>
          <w:rFonts w:ascii="Arial" w:hAnsi="Arial" w:cs="Arial"/>
        </w:rPr>
        <w:t xml:space="preserve">, </w:t>
      </w:r>
      <w:r w:rsidRPr="00F636DD">
        <w:rPr>
          <w:rFonts w:ascii="Cambria Math" w:hAnsi="Cambria Math" w:cs="Cambria Math"/>
        </w:rPr>
        <w:t>𝐜𝐞𝐭𝐭𝐞</w:t>
      </w:r>
      <w:r w:rsidRPr="00F636DD">
        <w:rPr>
          <w:rFonts w:ascii="Arial" w:hAnsi="Arial" w:cs="Arial"/>
        </w:rPr>
        <w:t xml:space="preserve"> </w:t>
      </w:r>
      <w:r w:rsidRPr="00F636DD">
        <w:rPr>
          <w:rFonts w:ascii="Cambria Math" w:hAnsi="Cambria Math" w:cs="Cambria Math"/>
        </w:rPr>
        <w:t>𝐝𝐢𝐬𝐭𝐢𝐧𝐜𝐭𝐢𝐨𝐧</w:t>
      </w:r>
      <w:r w:rsidRPr="00F636DD">
        <w:rPr>
          <w:rFonts w:ascii="Arial" w:hAnsi="Arial" w:cs="Arial"/>
        </w:rPr>
        <w:t xml:space="preserve"> </w:t>
      </w:r>
      <w:r w:rsidRPr="00F636DD">
        <w:rPr>
          <w:rFonts w:ascii="Cambria Math" w:hAnsi="Cambria Math" w:cs="Cambria Math"/>
        </w:rPr>
        <w:t>𝐬</w:t>
      </w:r>
      <w:r w:rsidRPr="00F636DD">
        <w:rPr>
          <w:rFonts w:ascii="Arial" w:hAnsi="Arial" w:cs="Arial"/>
        </w:rPr>
        <w:t>’</w:t>
      </w:r>
      <w:r w:rsidRPr="00F636DD">
        <w:rPr>
          <w:rFonts w:ascii="Cambria Math" w:hAnsi="Cambria Math" w:cs="Cambria Math"/>
        </w:rPr>
        <w:t>𝐞</w:t>
      </w:r>
      <w:r w:rsidRPr="00F636DD">
        <w:rPr>
          <w:rFonts w:ascii="Arial" w:hAnsi="Arial" w:cs="Arial"/>
        </w:rPr>
        <w:t>́</w:t>
      </w:r>
      <w:r w:rsidRPr="00F636DD">
        <w:rPr>
          <w:rFonts w:ascii="Cambria Math" w:hAnsi="Cambria Math" w:cs="Cambria Math"/>
        </w:rPr>
        <w:t>𝐥𝐞</w:t>
      </w:r>
      <w:r w:rsidRPr="00F636DD">
        <w:rPr>
          <w:rFonts w:ascii="Arial" w:hAnsi="Arial" w:cs="Arial"/>
        </w:rPr>
        <w:t>̀</w:t>
      </w:r>
      <w:r w:rsidRPr="00F636DD">
        <w:rPr>
          <w:rFonts w:ascii="Cambria Math" w:hAnsi="Cambria Math" w:cs="Cambria Math"/>
        </w:rPr>
        <w:t>𝐯𝐞</w:t>
      </w:r>
      <w:r w:rsidRPr="00F636DD">
        <w:rPr>
          <w:rFonts w:ascii="Arial" w:hAnsi="Arial" w:cs="Arial"/>
        </w:rPr>
        <w:t xml:space="preserve"> </w:t>
      </w:r>
      <w:r w:rsidRPr="00F636DD">
        <w:rPr>
          <w:rFonts w:ascii="Cambria Math" w:hAnsi="Cambria Math" w:cs="Cambria Math"/>
        </w:rPr>
        <w:t>𝐚𝐢𝐧𝐬𝐢</w:t>
      </w:r>
      <w:r w:rsidRPr="00F636DD">
        <w:rPr>
          <w:rFonts w:ascii="Arial" w:hAnsi="Arial" w:cs="Arial"/>
        </w:rPr>
        <w:t xml:space="preserve"> </w:t>
      </w:r>
      <w:r w:rsidRPr="00F636DD">
        <w:rPr>
          <w:rFonts w:ascii="Cambria Math" w:hAnsi="Cambria Math" w:cs="Cambria Math"/>
        </w:rPr>
        <w:t>𝐚𝐮</w:t>
      </w:r>
      <w:r w:rsidRPr="00F636DD">
        <w:rPr>
          <w:rFonts w:ascii="Arial" w:hAnsi="Arial" w:cs="Arial"/>
        </w:rPr>
        <w:t xml:space="preserve"> </w:t>
      </w:r>
      <w:r w:rsidRPr="00F636DD">
        <w:rPr>
          <w:rFonts w:ascii="Cambria Math" w:hAnsi="Cambria Math" w:cs="Cambria Math"/>
        </w:rPr>
        <w:t>𝐫𝐚𝐧𝐠</w:t>
      </w:r>
      <w:r w:rsidRPr="00F636DD">
        <w:rPr>
          <w:rFonts w:ascii="Arial" w:hAnsi="Arial" w:cs="Arial"/>
        </w:rPr>
        <w:t xml:space="preserve"> </w:t>
      </w:r>
      <w:r w:rsidRPr="00F636DD">
        <w:rPr>
          <w:rFonts w:ascii="Cambria Math" w:hAnsi="Cambria Math" w:cs="Cambria Math"/>
        </w:rPr>
        <w:t>𝐝</w:t>
      </w:r>
      <w:r w:rsidRPr="00F636DD">
        <w:rPr>
          <w:rFonts w:ascii="Arial" w:hAnsi="Arial" w:cs="Arial"/>
        </w:rPr>
        <w:t>’</w:t>
      </w:r>
      <w:r w:rsidRPr="00F636DD">
        <w:rPr>
          <w:rFonts w:ascii="Cambria Math" w:hAnsi="Cambria Math" w:cs="Cambria Math"/>
        </w:rPr>
        <w:t>𝐞𝐱𝐢𝐠𝐞𝐧𝐜𝐞</w:t>
      </w:r>
      <w:r w:rsidRPr="00F636DD">
        <w:rPr>
          <w:rFonts w:ascii="Arial" w:hAnsi="Arial" w:cs="Arial"/>
        </w:rPr>
        <w:t xml:space="preserve"> </w:t>
      </w:r>
      <w:r w:rsidRPr="00F636DD">
        <w:rPr>
          <w:rFonts w:ascii="Cambria Math" w:hAnsi="Cambria Math" w:cs="Cambria Math"/>
        </w:rPr>
        <w:t>𝐫𝐞𝐧𝐨𝐮𝐯𝐞𝐥𝐞</w:t>
      </w:r>
      <w:r w:rsidRPr="00F636DD">
        <w:rPr>
          <w:rFonts w:ascii="Arial" w:hAnsi="Arial" w:cs="Arial"/>
        </w:rPr>
        <w:t>́</w:t>
      </w:r>
      <w:r w:rsidRPr="00F636DD">
        <w:rPr>
          <w:rFonts w:ascii="Cambria Math" w:hAnsi="Cambria Math" w:cs="Cambria Math"/>
        </w:rPr>
        <w:t>𝐞</w:t>
      </w:r>
      <w:r w:rsidRPr="00F636DD">
        <w:rPr>
          <w:rFonts w:ascii="Arial" w:hAnsi="Arial" w:cs="Arial"/>
        </w:rPr>
        <w:t xml:space="preserve"> : </w:t>
      </w:r>
      <w:r w:rsidRPr="00F636DD">
        <w:rPr>
          <w:rFonts w:ascii="Cambria Math" w:hAnsi="Cambria Math" w:cs="Cambria Math"/>
        </w:rPr>
        <w:t>𝐜𝐞𝐥𝐥𝐞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𝐩𝐨𝐮𝐫𝐬𝐮𝐢𝐯𝐫𝐞</w:t>
      </w:r>
      <w:r w:rsidRPr="00F636DD">
        <w:rPr>
          <w:rFonts w:ascii="Arial" w:hAnsi="Arial" w:cs="Arial"/>
        </w:rPr>
        <w:t xml:space="preserve"> </w:t>
      </w:r>
      <w:r w:rsidRPr="00F636DD">
        <w:rPr>
          <w:rFonts w:ascii="Cambria Math" w:hAnsi="Cambria Math" w:cs="Cambria Math"/>
        </w:rPr>
        <w:t>𝐥</w:t>
      </w:r>
      <w:r w:rsidRPr="00F636DD">
        <w:rPr>
          <w:rFonts w:ascii="Arial" w:hAnsi="Arial" w:cs="Arial"/>
        </w:rPr>
        <w:t>’</w:t>
      </w:r>
      <w:r w:rsidRPr="00F636DD">
        <w:rPr>
          <w:rFonts w:ascii="Cambria Math" w:hAnsi="Cambria Math" w:cs="Cambria Math"/>
        </w:rPr>
        <w:t>𝐞𝐱𝐜𝐞𝐥𝐥𝐞𝐧𝐜𝐞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𝐟𝐨𝐫𝐭𝐢𝐟𝐢𝐞𝐫</w:t>
      </w:r>
      <w:r w:rsidRPr="00F636DD">
        <w:rPr>
          <w:rFonts w:ascii="Arial" w:hAnsi="Arial" w:cs="Arial"/>
        </w:rPr>
        <w:t xml:space="preserve"> </w:t>
      </w:r>
      <w:r w:rsidRPr="00F636DD">
        <w:rPr>
          <w:rFonts w:ascii="Cambria Math" w:hAnsi="Cambria Math" w:cs="Cambria Math"/>
        </w:rPr>
        <w:t>𝐥𝐞𝐬</w:t>
      </w:r>
      <w:r w:rsidRPr="00F636DD">
        <w:rPr>
          <w:rFonts w:ascii="Arial" w:hAnsi="Arial" w:cs="Arial"/>
        </w:rPr>
        <w:t xml:space="preserve"> </w:t>
      </w:r>
      <w:r w:rsidRPr="00F636DD">
        <w:rPr>
          <w:rFonts w:ascii="Cambria Math" w:hAnsi="Cambria Math" w:cs="Cambria Math"/>
        </w:rPr>
        <w:t>𝐚𝐜𝐪𝐮𝐢𝐬</w:t>
      </w:r>
      <w:r w:rsidRPr="00F636DD">
        <w:rPr>
          <w:rFonts w:ascii="Arial" w:hAnsi="Arial" w:cs="Arial"/>
        </w:rPr>
        <w:t xml:space="preserve"> </w:t>
      </w:r>
      <w:r w:rsidRPr="00F636DD">
        <w:rPr>
          <w:rFonts w:ascii="Cambria Math" w:hAnsi="Cambria Math" w:cs="Cambria Math"/>
        </w:rPr>
        <w:t>𝐞𝐭</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𝐦𝐚𝐢𝐧𝐭𝐞𝐧𝐢𝐫</w:t>
      </w:r>
      <w:r w:rsidRPr="00F636DD">
        <w:rPr>
          <w:rFonts w:ascii="Arial" w:hAnsi="Arial" w:cs="Arial"/>
        </w:rPr>
        <w:t xml:space="preserve">, </w:t>
      </w:r>
      <w:r w:rsidRPr="00F636DD">
        <w:rPr>
          <w:rFonts w:ascii="Cambria Math" w:hAnsi="Cambria Math" w:cs="Cambria Math"/>
        </w:rPr>
        <w:t>𝐚𝐮</w:t>
      </w:r>
      <w:r w:rsidRPr="00F636DD">
        <w:rPr>
          <w:rFonts w:ascii="Arial" w:hAnsi="Arial" w:cs="Arial"/>
        </w:rPr>
        <w:t xml:space="preserve"> </w:t>
      </w:r>
      <w:r w:rsidRPr="00F636DD">
        <w:rPr>
          <w:rFonts w:ascii="Cambria Math" w:hAnsi="Cambria Math" w:cs="Cambria Math"/>
        </w:rPr>
        <w:t>𝐬𝐞𝐫𝐯𝐢𝐜𝐞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𝐥𝐚</w:t>
      </w:r>
      <w:r w:rsidRPr="00F636DD">
        <w:rPr>
          <w:rFonts w:ascii="Arial" w:hAnsi="Arial" w:cs="Arial"/>
        </w:rPr>
        <w:t xml:space="preserve"> </w:t>
      </w:r>
      <w:r w:rsidRPr="00F636DD">
        <w:rPr>
          <w:rFonts w:ascii="Cambria Math" w:hAnsi="Cambria Math" w:cs="Cambria Math"/>
        </w:rPr>
        <w:t>𝐍𝐚𝐭𝐢𝐨𝐧</w:t>
      </w:r>
      <w:r w:rsidRPr="00F636DD">
        <w:rPr>
          <w:rFonts w:ascii="Arial" w:hAnsi="Arial" w:cs="Arial"/>
        </w:rPr>
        <w:t xml:space="preserve">, </w:t>
      </w:r>
      <w:r w:rsidRPr="00F636DD">
        <w:rPr>
          <w:rFonts w:ascii="Cambria Math" w:hAnsi="Cambria Math" w:cs="Cambria Math"/>
        </w:rPr>
        <w:t>𝐮𝐧</w:t>
      </w:r>
      <w:r w:rsidRPr="00F636DD">
        <w:rPr>
          <w:rFonts w:ascii="Arial" w:hAnsi="Arial" w:cs="Arial"/>
        </w:rPr>
        <w:t xml:space="preserve"> </w:t>
      </w:r>
      <w:r w:rsidRPr="00F636DD">
        <w:rPr>
          <w:rFonts w:ascii="Cambria Math" w:hAnsi="Cambria Math" w:cs="Cambria Math"/>
        </w:rPr>
        <w:t>𝐡𝐚𝐮𝐭</w:t>
      </w:r>
      <w:r w:rsidRPr="00F636DD">
        <w:rPr>
          <w:rFonts w:ascii="Arial" w:hAnsi="Arial" w:cs="Arial"/>
        </w:rPr>
        <w:t xml:space="preserve"> </w:t>
      </w:r>
      <w:r w:rsidRPr="00F636DD">
        <w:rPr>
          <w:rFonts w:ascii="Cambria Math" w:hAnsi="Cambria Math" w:cs="Cambria Math"/>
        </w:rPr>
        <w:t>𝐝𝐞𝐠𝐫𝐞</w:t>
      </w:r>
      <w:r w:rsidRPr="00F636DD">
        <w:rPr>
          <w:rFonts w:ascii="Arial" w:hAnsi="Arial" w:cs="Arial"/>
        </w:rPr>
        <w:t xml:space="preserve">́ </w:t>
      </w:r>
      <w:r w:rsidRPr="00F636DD">
        <w:rPr>
          <w:rFonts w:ascii="Cambria Math" w:hAnsi="Cambria Math" w:cs="Cambria Math"/>
        </w:rPr>
        <w:t>𝐝𝐞</w:t>
      </w:r>
      <w:r w:rsidRPr="00F636DD">
        <w:rPr>
          <w:rFonts w:ascii="Arial" w:hAnsi="Arial" w:cs="Arial"/>
        </w:rPr>
        <w:t xml:space="preserve"> </w:t>
      </w:r>
      <w:r w:rsidRPr="00F636DD">
        <w:rPr>
          <w:rFonts w:ascii="Cambria Math" w:hAnsi="Cambria Math" w:cs="Cambria Math"/>
        </w:rPr>
        <w:t>𝐫𝐞𝐬𝐩𝐨𝐧𝐬𝐚𝐛𝐢𝐥𝐢𝐭𝐞</w:t>
      </w:r>
      <w:r w:rsidRPr="00F636DD">
        <w:rPr>
          <w:rFonts w:ascii="Arial" w:hAnsi="Arial" w:cs="Arial"/>
        </w:rPr>
        <w:t xml:space="preserve">́ </w:t>
      </w:r>
      <w:r w:rsidRPr="00F636DD">
        <w:rPr>
          <w:rFonts w:ascii="Cambria Math" w:hAnsi="Cambria Math" w:cs="Cambria Math"/>
        </w:rPr>
        <w:t>𝐞𝐭</w:t>
      </w:r>
      <w:r w:rsidRPr="00F636DD">
        <w:rPr>
          <w:rFonts w:ascii="Arial" w:hAnsi="Arial" w:cs="Arial"/>
        </w:rPr>
        <w:t xml:space="preserve"> </w:t>
      </w:r>
      <w:r w:rsidRPr="00F636DD">
        <w:rPr>
          <w:rFonts w:ascii="Cambria Math" w:hAnsi="Cambria Math" w:cs="Cambria Math"/>
        </w:rPr>
        <w:t>𝐝</w:t>
      </w:r>
      <w:r w:rsidRPr="00F636DD">
        <w:rPr>
          <w:rFonts w:ascii="Arial" w:hAnsi="Arial" w:cs="Arial"/>
        </w:rPr>
        <w:t>’</w:t>
      </w:r>
      <w:r w:rsidRPr="00F636DD">
        <w:rPr>
          <w:rFonts w:ascii="Cambria Math" w:hAnsi="Cambria Math" w:cs="Cambria Math"/>
        </w:rPr>
        <w:t>𝐚𝐦𝐛𝐢𝐭𝐢𝐨𝐧</w:t>
      </w:r>
      <w:r w:rsidRPr="00F636DD">
        <w:rPr>
          <w:rFonts w:ascii="Arial" w:hAnsi="Arial" w:cs="Arial"/>
        </w:rPr>
        <w:t>.</w:t>
      </w:r>
    </w:p>
    <w:p w:rsidR="00F636DD" w:rsidRPr="00F636DD" w:rsidRDefault="00F636DD" w:rsidP="00F636DD">
      <w:pPr>
        <w:pStyle w:val="Sansinterligne"/>
        <w:rPr>
          <w:rFonts w:ascii="Arial" w:hAnsi="Arial" w:cs="Arial"/>
        </w:rPr>
      </w:pPr>
    </w:p>
    <w:p w:rsidR="00F636DD" w:rsidRPr="00F636DD" w:rsidRDefault="00F636DD" w:rsidP="00F636DD">
      <w:pPr>
        <w:pStyle w:val="Sansinterligne"/>
        <w:rPr>
          <w:rFonts w:ascii="Arial" w:hAnsi="Arial" w:cs="Arial"/>
        </w:rPr>
      </w:pPr>
      <w:r w:rsidRPr="00F636DD">
        <w:rPr>
          <w:rFonts w:ascii="Cambria Math" w:hAnsi="Cambria Math" w:cs="Cambria Math"/>
        </w:rPr>
        <w:t>𝐋𝐚</w:t>
      </w:r>
      <w:r w:rsidRPr="00F636DD">
        <w:rPr>
          <w:rFonts w:ascii="Arial" w:hAnsi="Arial" w:cs="Arial"/>
        </w:rPr>
        <w:t xml:space="preserve"> </w:t>
      </w:r>
      <w:r w:rsidRPr="00F636DD">
        <w:rPr>
          <w:rFonts w:ascii="Cambria Math" w:hAnsi="Cambria Math" w:cs="Cambria Math"/>
        </w:rPr>
        <w:t>𝐃𝐨𝐮𝐚𝐧𝐞</w:t>
      </w:r>
      <w:r w:rsidRPr="00F636DD">
        <w:rPr>
          <w:rFonts w:ascii="Arial" w:hAnsi="Arial" w:cs="Arial"/>
        </w:rPr>
        <w:t xml:space="preserve"> : </w:t>
      </w:r>
      <w:r w:rsidRPr="00F636DD">
        <w:rPr>
          <w:rFonts w:ascii="Cambria Math" w:hAnsi="Cambria Math" w:cs="Cambria Math"/>
        </w:rPr>
        <w:t>𝐇𝐨𝐧𝐧𝐞𝐮𝐫</w:t>
      </w:r>
      <w:r w:rsidRPr="00F636DD">
        <w:rPr>
          <w:rFonts w:ascii="Arial" w:hAnsi="Arial" w:cs="Arial"/>
        </w:rPr>
        <w:t>-</w:t>
      </w:r>
      <w:r w:rsidRPr="00F636DD">
        <w:rPr>
          <w:rFonts w:ascii="Cambria Math" w:hAnsi="Cambria Math" w:cs="Cambria Math"/>
        </w:rPr>
        <w:t>𝐃𝐞</w:t>
      </w:r>
      <w:r w:rsidRPr="00F636DD">
        <w:rPr>
          <w:rFonts w:ascii="Arial" w:hAnsi="Arial" w:cs="Arial"/>
        </w:rPr>
        <w:t>́</w:t>
      </w:r>
      <w:r w:rsidRPr="00F636DD">
        <w:rPr>
          <w:rFonts w:ascii="Cambria Math" w:hAnsi="Cambria Math" w:cs="Cambria Math"/>
        </w:rPr>
        <w:t>𝐯𝐨𝐮𝐞𝐦𝐞𝐧𝐭</w:t>
      </w:r>
      <w:r w:rsidRPr="00F636DD">
        <w:rPr>
          <w:rFonts w:ascii="Arial" w:hAnsi="Arial" w:cs="Arial"/>
        </w:rPr>
        <w:t>-</w:t>
      </w:r>
      <w:r w:rsidRPr="00F636DD">
        <w:rPr>
          <w:rFonts w:ascii="Cambria Math" w:hAnsi="Cambria Math" w:cs="Cambria Math"/>
        </w:rPr>
        <w:t>𝐕𝐢𝐠𝐢𝐥𝐚𝐧𝐜𝐞</w:t>
      </w:r>
      <w:r w:rsidRPr="00F636DD">
        <w:rPr>
          <w:rFonts w:ascii="Arial" w:hAnsi="Arial" w:cs="Arial"/>
        </w:rPr>
        <w:t xml:space="preserve"> </w:t>
      </w:r>
    </w:p>
    <w:p w:rsidR="00F02C32" w:rsidRPr="001F1135" w:rsidRDefault="00F636DD" w:rsidP="00F636DD">
      <w:pPr>
        <w:pStyle w:val="Sansinterligne"/>
        <w:rPr>
          <w:rFonts w:ascii="Arial" w:hAnsi="Arial" w:cs="Arial"/>
        </w:rPr>
      </w:pPr>
      <w:r w:rsidRPr="00F636DD">
        <w:rPr>
          <w:rFonts w:ascii="Cambria Math" w:hAnsi="Cambria Math" w:cs="Cambria Math"/>
        </w:rPr>
        <w:t>𝐒𝐂𝐑𝐏</w:t>
      </w:r>
      <w:r w:rsidRPr="00F636DD">
        <w:rPr>
          <w:rFonts w:ascii="Arial" w:hAnsi="Arial" w:cs="Arial"/>
        </w:rPr>
        <w:t>-</w:t>
      </w:r>
      <w:r w:rsidRPr="00F636DD">
        <w:rPr>
          <w:rFonts w:ascii="Cambria Math" w:hAnsi="Cambria Math" w:cs="Cambria Math"/>
        </w:rPr>
        <w:t>𝐃𝐆𝐃</w:t>
      </w:r>
    </w:p>
    <w:sectPr w:rsidR="00F02C32" w:rsidRPr="001F113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35"/>
    <w:rsid w:val="001F1135"/>
    <w:rsid w:val="00F02C32"/>
    <w:rsid w:val="00F6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1D47"/>
  <w15:chartTrackingRefBased/>
  <w15:docId w15:val="{33A7FDB4-84DD-49A8-904D-A05AB028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636DD"/>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96348">
      <w:bodyDiv w:val="1"/>
      <w:marLeft w:val="0"/>
      <w:marRight w:val="0"/>
      <w:marTop w:val="0"/>
      <w:marBottom w:val="0"/>
      <w:divBdr>
        <w:top w:val="none" w:sz="0" w:space="0" w:color="auto"/>
        <w:left w:val="none" w:sz="0" w:space="0" w:color="auto"/>
        <w:bottom w:val="none" w:sz="0" w:space="0" w:color="auto"/>
        <w:right w:val="none" w:sz="0" w:space="0" w:color="auto"/>
      </w:divBdr>
      <w:divsChild>
        <w:div w:id="331956537">
          <w:marLeft w:val="0"/>
          <w:marRight w:val="0"/>
          <w:marTop w:val="0"/>
          <w:marBottom w:val="0"/>
          <w:divBdr>
            <w:top w:val="none" w:sz="0" w:space="0" w:color="auto"/>
            <w:left w:val="none" w:sz="0" w:space="0" w:color="auto"/>
            <w:bottom w:val="none" w:sz="0" w:space="0" w:color="auto"/>
            <w:right w:val="none" w:sz="0" w:space="0" w:color="auto"/>
          </w:divBdr>
          <w:divsChild>
            <w:div w:id="716271704">
              <w:marLeft w:val="0"/>
              <w:marRight w:val="0"/>
              <w:marTop w:val="0"/>
              <w:marBottom w:val="0"/>
              <w:divBdr>
                <w:top w:val="none" w:sz="0" w:space="0" w:color="auto"/>
                <w:left w:val="none" w:sz="0" w:space="0" w:color="auto"/>
                <w:bottom w:val="none" w:sz="0" w:space="0" w:color="auto"/>
                <w:right w:val="none" w:sz="0" w:space="0" w:color="auto"/>
              </w:divBdr>
            </w:div>
          </w:divsChild>
        </w:div>
        <w:div w:id="412237697">
          <w:marLeft w:val="0"/>
          <w:marRight w:val="0"/>
          <w:marTop w:val="120"/>
          <w:marBottom w:val="0"/>
          <w:divBdr>
            <w:top w:val="none" w:sz="0" w:space="0" w:color="auto"/>
            <w:left w:val="none" w:sz="0" w:space="0" w:color="auto"/>
            <w:bottom w:val="none" w:sz="0" w:space="0" w:color="auto"/>
            <w:right w:val="none" w:sz="0" w:space="0" w:color="auto"/>
          </w:divBdr>
          <w:divsChild>
            <w:div w:id="1108089365">
              <w:marLeft w:val="0"/>
              <w:marRight w:val="0"/>
              <w:marTop w:val="0"/>
              <w:marBottom w:val="0"/>
              <w:divBdr>
                <w:top w:val="none" w:sz="0" w:space="0" w:color="auto"/>
                <w:left w:val="none" w:sz="0" w:space="0" w:color="auto"/>
                <w:bottom w:val="none" w:sz="0" w:space="0" w:color="auto"/>
                <w:right w:val="none" w:sz="0" w:space="0" w:color="auto"/>
              </w:divBdr>
            </w:div>
          </w:divsChild>
        </w:div>
        <w:div w:id="2127771190">
          <w:marLeft w:val="0"/>
          <w:marRight w:val="0"/>
          <w:marTop w:val="120"/>
          <w:marBottom w:val="0"/>
          <w:divBdr>
            <w:top w:val="none" w:sz="0" w:space="0" w:color="auto"/>
            <w:left w:val="none" w:sz="0" w:space="0" w:color="auto"/>
            <w:bottom w:val="none" w:sz="0" w:space="0" w:color="auto"/>
            <w:right w:val="none" w:sz="0" w:space="0" w:color="auto"/>
          </w:divBdr>
          <w:divsChild>
            <w:div w:id="1086654898">
              <w:marLeft w:val="0"/>
              <w:marRight w:val="0"/>
              <w:marTop w:val="0"/>
              <w:marBottom w:val="0"/>
              <w:divBdr>
                <w:top w:val="none" w:sz="0" w:space="0" w:color="auto"/>
                <w:left w:val="none" w:sz="0" w:space="0" w:color="auto"/>
                <w:bottom w:val="none" w:sz="0" w:space="0" w:color="auto"/>
                <w:right w:val="none" w:sz="0" w:space="0" w:color="auto"/>
              </w:divBdr>
            </w:div>
          </w:divsChild>
        </w:div>
        <w:div w:id="1062753110">
          <w:marLeft w:val="0"/>
          <w:marRight w:val="0"/>
          <w:marTop w:val="120"/>
          <w:marBottom w:val="0"/>
          <w:divBdr>
            <w:top w:val="none" w:sz="0" w:space="0" w:color="auto"/>
            <w:left w:val="none" w:sz="0" w:space="0" w:color="auto"/>
            <w:bottom w:val="none" w:sz="0" w:space="0" w:color="auto"/>
            <w:right w:val="none" w:sz="0" w:space="0" w:color="auto"/>
          </w:divBdr>
          <w:divsChild>
            <w:div w:id="1465852772">
              <w:marLeft w:val="0"/>
              <w:marRight w:val="0"/>
              <w:marTop w:val="0"/>
              <w:marBottom w:val="0"/>
              <w:divBdr>
                <w:top w:val="none" w:sz="0" w:space="0" w:color="auto"/>
                <w:left w:val="none" w:sz="0" w:space="0" w:color="auto"/>
                <w:bottom w:val="none" w:sz="0" w:space="0" w:color="auto"/>
                <w:right w:val="none" w:sz="0" w:space="0" w:color="auto"/>
              </w:divBdr>
            </w:div>
          </w:divsChild>
        </w:div>
        <w:div w:id="996572611">
          <w:marLeft w:val="0"/>
          <w:marRight w:val="0"/>
          <w:marTop w:val="120"/>
          <w:marBottom w:val="0"/>
          <w:divBdr>
            <w:top w:val="none" w:sz="0" w:space="0" w:color="auto"/>
            <w:left w:val="none" w:sz="0" w:space="0" w:color="auto"/>
            <w:bottom w:val="none" w:sz="0" w:space="0" w:color="auto"/>
            <w:right w:val="none" w:sz="0" w:space="0" w:color="auto"/>
          </w:divBdr>
          <w:divsChild>
            <w:div w:id="651369046">
              <w:marLeft w:val="0"/>
              <w:marRight w:val="0"/>
              <w:marTop w:val="0"/>
              <w:marBottom w:val="0"/>
              <w:divBdr>
                <w:top w:val="none" w:sz="0" w:space="0" w:color="auto"/>
                <w:left w:val="none" w:sz="0" w:space="0" w:color="auto"/>
                <w:bottom w:val="none" w:sz="0" w:space="0" w:color="auto"/>
                <w:right w:val="none" w:sz="0" w:space="0" w:color="auto"/>
              </w:divBdr>
            </w:div>
            <w:div w:id="1680812906">
              <w:marLeft w:val="0"/>
              <w:marRight w:val="0"/>
              <w:marTop w:val="0"/>
              <w:marBottom w:val="0"/>
              <w:divBdr>
                <w:top w:val="none" w:sz="0" w:space="0" w:color="auto"/>
                <w:left w:val="none" w:sz="0" w:space="0" w:color="auto"/>
                <w:bottom w:val="none" w:sz="0" w:space="0" w:color="auto"/>
                <w:right w:val="none" w:sz="0" w:space="0" w:color="auto"/>
              </w:divBdr>
            </w:div>
            <w:div w:id="627661474">
              <w:marLeft w:val="0"/>
              <w:marRight w:val="0"/>
              <w:marTop w:val="0"/>
              <w:marBottom w:val="0"/>
              <w:divBdr>
                <w:top w:val="none" w:sz="0" w:space="0" w:color="auto"/>
                <w:left w:val="none" w:sz="0" w:space="0" w:color="auto"/>
                <w:bottom w:val="none" w:sz="0" w:space="0" w:color="auto"/>
                <w:right w:val="none" w:sz="0" w:space="0" w:color="auto"/>
              </w:divBdr>
            </w:div>
            <w:div w:id="770197127">
              <w:marLeft w:val="0"/>
              <w:marRight w:val="0"/>
              <w:marTop w:val="0"/>
              <w:marBottom w:val="0"/>
              <w:divBdr>
                <w:top w:val="none" w:sz="0" w:space="0" w:color="auto"/>
                <w:left w:val="none" w:sz="0" w:space="0" w:color="auto"/>
                <w:bottom w:val="none" w:sz="0" w:space="0" w:color="auto"/>
                <w:right w:val="none" w:sz="0" w:space="0" w:color="auto"/>
              </w:divBdr>
            </w:div>
          </w:divsChild>
        </w:div>
        <w:div w:id="1463768029">
          <w:marLeft w:val="0"/>
          <w:marRight w:val="0"/>
          <w:marTop w:val="120"/>
          <w:marBottom w:val="0"/>
          <w:divBdr>
            <w:top w:val="none" w:sz="0" w:space="0" w:color="auto"/>
            <w:left w:val="none" w:sz="0" w:space="0" w:color="auto"/>
            <w:bottom w:val="none" w:sz="0" w:space="0" w:color="auto"/>
            <w:right w:val="none" w:sz="0" w:space="0" w:color="auto"/>
          </w:divBdr>
          <w:divsChild>
            <w:div w:id="1188375287">
              <w:marLeft w:val="0"/>
              <w:marRight w:val="0"/>
              <w:marTop w:val="0"/>
              <w:marBottom w:val="0"/>
              <w:divBdr>
                <w:top w:val="none" w:sz="0" w:space="0" w:color="auto"/>
                <w:left w:val="none" w:sz="0" w:space="0" w:color="auto"/>
                <w:bottom w:val="none" w:sz="0" w:space="0" w:color="auto"/>
                <w:right w:val="none" w:sz="0" w:space="0" w:color="auto"/>
              </w:divBdr>
            </w:div>
          </w:divsChild>
        </w:div>
        <w:div w:id="1551307112">
          <w:marLeft w:val="0"/>
          <w:marRight w:val="0"/>
          <w:marTop w:val="120"/>
          <w:marBottom w:val="0"/>
          <w:divBdr>
            <w:top w:val="none" w:sz="0" w:space="0" w:color="auto"/>
            <w:left w:val="none" w:sz="0" w:space="0" w:color="auto"/>
            <w:bottom w:val="none" w:sz="0" w:space="0" w:color="auto"/>
            <w:right w:val="none" w:sz="0" w:space="0" w:color="auto"/>
          </w:divBdr>
          <w:divsChild>
            <w:div w:id="1694186363">
              <w:marLeft w:val="0"/>
              <w:marRight w:val="0"/>
              <w:marTop w:val="0"/>
              <w:marBottom w:val="0"/>
              <w:divBdr>
                <w:top w:val="none" w:sz="0" w:space="0" w:color="auto"/>
                <w:left w:val="none" w:sz="0" w:space="0" w:color="auto"/>
                <w:bottom w:val="none" w:sz="0" w:space="0" w:color="auto"/>
                <w:right w:val="none" w:sz="0" w:space="0" w:color="auto"/>
              </w:divBdr>
            </w:div>
            <w:div w:id="137959284">
              <w:marLeft w:val="0"/>
              <w:marRight w:val="0"/>
              <w:marTop w:val="0"/>
              <w:marBottom w:val="0"/>
              <w:divBdr>
                <w:top w:val="none" w:sz="0" w:space="0" w:color="auto"/>
                <w:left w:val="none" w:sz="0" w:space="0" w:color="auto"/>
                <w:bottom w:val="none" w:sz="0" w:space="0" w:color="auto"/>
                <w:right w:val="none" w:sz="0" w:space="0" w:color="auto"/>
              </w:divBdr>
            </w:div>
            <w:div w:id="1145119559">
              <w:marLeft w:val="0"/>
              <w:marRight w:val="0"/>
              <w:marTop w:val="0"/>
              <w:marBottom w:val="0"/>
              <w:divBdr>
                <w:top w:val="none" w:sz="0" w:space="0" w:color="auto"/>
                <w:left w:val="none" w:sz="0" w:space="0" w:color="auto"/>
                <w:bottom w:val="none" w:sz="0" w:space="0" w:color="auto"/>
                <w:right w:val="none" w:sz="0" w:space="0" w:color="auto"/>
              </w:divBdr>
            </w:div>
            <w:div w:id="1784375815">
              <w:marLeft w:val="0"/>
              <w:marRight w:val="0"/>
              <w:marTop w:val="0"/>
              <w:marBottom w:val="0"/>
              <w:divBdr>
                <w:top w:val="none" w:sz="0" w:space="0" w:color="auto"/>
                <w:left w:val="none" w:sz="0" w:space="0" w:color="auto"/>
                <w:bottom w:val="none" w:sz="0" w:space="0" w:color="auto"/>
                <w:right w:val="none" w:sz="0" w:space="0" w:color="auto"/>
              </w:divBdr>
            </w:div>
            <w:div w:id="861360826">
              <w:marLeft w:val="0"/>
              <w:marRight w:val="0"/>
              <w:marTop w:val="0"/>
              <w:marBottom w:val="0"/>
              <w:divBdr>
                <w:top w:val="none" w:sz="0" w:space="0" w:color="auto"/>
                <w:left w:val="none" w:sz="0" w:space="0" w:color="auto"/>
                <w:bottom w:val="none" w:sz="0" w:space="0" w:color="auto"/>
                <w:right w:val="none" w:sz="0" w:space="0" w:color="auto"/>
              </w:divBdr>
            </w:div>
          </w:divsChild>
        </w:div>
        <w:div w:id="30350719">
          <w:marLeft w:val="0"/>
          <w:marRight w:val="0"/>
          <w:marTop w:val="120"/>
          <w:marBottom w:val="0"/>
          <w:divBdr>
            <w:top w:val="none" w:sz="0" w:space="0" w:color="auto"/>
            <w:left w:val="none" w:sz="0" w:space="0" w:color="auto"/>
            <w:bottom w:val="none" w:sz="0" w:space="0" w:color="auto"/>
            <w:right w:val="none" w:sz="0" w:space="0" w:color="auto"/>
          </w:divBdr>
          <w:divsChild>
            <w:div w:id="1331173878">
              <w:marLeft w:val="0"/>
              <w:marRight w:val="0"/>
              <w:marTop w:val="0"/>
              <w:marBottom w:val="0"/>
              <w:divBdr>
                <w:top w:val="none" w:sz="0" w:space="0" w:color="auto"/>
                <w:left w:val="none" w:sz="0" w:space="0" w:color="auto"/>
                <w:bottom w:val="none" w:sz="0" w:space="0" w:color="auto"/>
                <w:right w:val="none" w:sz="0" w:space="0" w:color="auto"/>
              </w:divBdr>
            </w:div>
          </w:divsChild>
        </w:div>
        <w:div w:id="232394652">
          <w:marLeft w:val="0"/>
          <w:marRight w:val="0"/>
          <w:marTop w:val="120"/>
          <w:marBottom w:val="0"/>
          <w:divBdr>
            <w:top w:val="none" w:sz="0" w:space="0" w:color="auto"/>
            <w:left w:val="none" w:sz="0" w:space="0" w:color="auto"/>
            <w:bottom w:val="none" w:sz="0" w:space="0" w:color="auto"/>
            <w:right w:val="none" w:sz="0" w:space="0" w:color="auto"/>
          </w:divBdr>
          <w:divsChild>
            <w:div w:id="866910926">
              <w:marLeft w:val="0"/>
              <w:marRight w:val="0"/>
              <w:marTop w:val="0"/>
              <w:marBottom w:val="0"/>
              <w:divBdr>
                <w:top w:val="none" w:sz="0" w:space="0" w:color="auto"/>
                <w:left w:val="none" w:sz="0" w:space="0" w:color="auto"/>
                <w:bottom w:val="none" w:sz="0" w:space="0" w:color="auto"/>
                <w:right w:val="none" w:sz="0" w:space="0" w:color="auto"/>
              </w:divBdr>
            </w:div>
            <w:div w:id="638073437">
              <w:marLeft w:val="0"/>
              <w:marRight w:val="0"/>
              <w:marTop w:val="0"/>
              <w:marBottom w:val="0"/>
              <w:divBdr>
                <w:top w:val="none" w:sz="0" w:space="0" w:color="auto"/>
                <w:left w:val="none" w:sz="0" w:space="0" w:color="auto"/>
                <w:bottom w:val="none" w:sz="0" w:space="0" w:color="auto"/>
                <w:right w:val="none" w:sz="0" w:space="0" w:color="auto"/>
              </w:divBdr>
            </w:div>
            <w:div w:id="709184052">
              <w:marLeft w:val="0"/>
              <w:marRight w:val="0"/>
              <w:marTop w:val="0"/>
              <w:marBottom w:val="0"/>
              <w:divBdr>
                <w:top w:val="none" w:sz="0" w:space="0" w:color="auto"/>
                <w:left w:val="none" w:sz="0" w:space="0" w:color="auto"/>
                <w:bottom w:val="none" w:sz="0" w:space="0" w:color="auto"/>
                <w:right w:val="none" w:sz="0" w:space="0" w:color="auto"/>
              </w:divBdr>
            </w:div>
            <w:div w:id="1397625344">
              <w:marLeft w:val="0"/>
              <w:marRight w:val="0"/>
              <w:marTop w:val="0"/>
              <w:marBottom w:val="0"/>
              <w:divBdr>
                <w:top w:val="none" w:sz="0" w:space="0" w:color="auto"/>
                <w:left w:val="none" w:sz="0" w:space="0" w:color="auto"/>
                <w:bottom w:val="none" w:sz="0" w:space="0" w:color="auto"/>
                <w:right w:val="none" w:sz="0" w:space="0" w:color="auto"/>
              </w:divBdr>
            </w:div>
          </w:divsChild>
        </w:div>
        <w:div w:id="2140687508">
          <w:marLeft w:val="0"/>
          <w:marRight w:val="0"/>
          <w:marTop w:val="120"/>
          <w:marBottom w:val="0"/>
          <w:divBdr>
            <w:top w:val="none" w:sz="0" w:space="0" w:color="auto"/>
            <w:left w:val="none" w:sz="0" w:space="0" w:color="auto"/>
            <w:bottom w:val="none" w:sz="0" w:space="0" w:color="auto"/>
            <w:right w:val="none" w:sz="0" w:space="0" w:color="auto"/>
          </w:divBdr>
          <w:divsChild>
            <w:div w:id="1495802842">
              <w:marLeft w:val="0"/>
              <w:marRight w:val="0"/>
              <w:marTop w:val="0"/>
              <w:marBottom w:val="0"/>
              <w:divBdr>
                <w:top w:val="none" w:sz="0" w:space="0" w:color="auto"/>
                <w:left w:val="none" w:sz="0" w:space="0" w:color="auto"/>
                <w:bottom w:val="none" w:sz="0" w:space="0" w:color="auto"/>
                <w:right w:val="none" w:sz="0" w:space="0" w:color="auto"/>
              </w:divBdr>
            </w:div>
          </w:divsChild>
        </w:div>
        <w:div w:id="126750202">
          <w:marLeft w:val="0"/>
          <w:marRight w:val="0"/>
          <w:marTop w:val="120"/>
          <w:marBottom w:val="0"/>
          <w:divBdr>
            <w:top w:val="none" w:sz="0" w:space="0" w:color="auto"/>
            <w:left w:val="none" w:sz="0" w:space="0" w:color="auto"/>
            <w:bottom w:val="none" w:sz="0" w:space="0" w:color="auto"/>
            <w:right w:val="none" w:sz="0" w:space="0" w:color="auto"/>
          </w:divBdr>
          <w:divsChild>
            <w:div w:id="19851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609</Words>
  <Characters>3474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2026-01-22T13:55:00Z</dcterms:created>
  <dcterms:modified xsi:type="dcterms:W3CDTF">2026-01-22T15:08:00Z</dcterms:modified>
</cp:coreProperties>
</file>